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Raleway" w:cs="Raleway" w:eastAsia="Raleway" w:hAnsi="Raleway"/>
          <w:b w:val="1"/>
          <w:color w:val="222222"/>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Spectral" w:cs="Spectral" w:eastAsia="Spectral" w:hAnsi="Spectral"/>
                <w:b w:val="1"/>
                <w:sz w:val="16"/>
                <w:szCs w:val="16"/>
              </w:rPr>
            </w:pPr>
            <w:r w:rsidDel="00000000" w:rsidR="00000000" w:rsidRPr="00000000">
              <w:rPr>
                <w:rFonts w:ascii="Spectral" w:cs="Spectral" w:eastAsia="Spectral" w:hAnsi="Spectral"/>
                <w:b w:val="1"/>
                <w:sz w:val="16"/>
                <w:szCs w:val="16"/>
                <w:rtl w:val="0"/>
              </w:rPr>
              <w:t xml:space="preserve">Emerging (6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Spectral" w:cs="Spectral" w:eastAsia="Spectral" w:hAnsi="Spectral"/>
                <w:b w:val="1"/>
                <w:sz w:val="16"/>
                <w:szCs w:val="16"/>
              </w:rPr>
            </w:pPr>
            <w:r w:rsidDel="00000000" w:rsidR="00000000" w:rsidRPr="00000000">
              <w:rPr>
                <w:rFonts w:ascii="Spectral" w:cs="Spectral" w:eastAsia="Spectral" w:hAnsi="Spectral"/>
                <w:b w:val="1"/>
                <w:sz w:val="16"/>
                <w:szCs w:val="16"/>
                <w:rtl w:val="0"/>
              </w:rPr>
              <w:t xml:space="preserve">Approaching (7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Spectral" w:cs="Spectral" w:eastAsia="Spectral" w:hAnsi="Spectral"/>
                <w:b w:val="1"/>
                <w:sz w:val="16"/>
                <w:szCs w:val="16"/>
              </w:rPr>
            </w:pPr>
            <w:r w:rsidDel="00000000" w:rsidR="00000000" w:rsidRPr="00000000">
              <w:rPr>
                <w:rFonts w:ascii="Spectral" w:cs="Spectral" w:eastAsia="Spectral" w:hAnsi="Spectral"/>
                <w:b w:val="1"/>
                <w:sz w:val="16"/>
                <w:szCs w:val="16"/>
                <w:rtl w:val="0"/>
              </w:rPr>
              <w:t xml:space="preserve">Proficient (8-9.5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Spectral" w:cs="Spectral" w:eastAsia="Spectral" w:hAnsi="Spectral"/>
                <w:b w:val="1"/>
                <w:sz w:val="16"/>
                <w:szCs w:val="16"/>
              </w:rPr>
            </w:pPr>
            <w:r w:rsidDel="00000000" w:rsidR="00000000" w:rsidRPr="00000000">
              <w:rPr>
                <w:rFonts w:ascii="Spectral" w:cs="Spectral" w:eastAsia="Spectral" w:hAnsi="Spectral"/>
                <w:b w:val="1"/>
                <w:sz w:val="16"/>
                <w:szCs w:val="16"/>
                <w:rtl w:val="0"/>
              </w:rPr>
              <w:t xml:space="preserve">Advanced (10 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Spectral" w:cs="Spectral" w:eastAsia="Spectral" w:hAnsi="Spectral"/>
                <w:sz w:val="16"/>
                <w:szCs w:val="16"/>
              </w:rPr>
            </w:pPr>
            <w:r w:rsidDel="00000000" w:rsidR="00000000" w:rsidRPr="00000000">
              <w:rPr>
                <w:rFonts w:ascii="Spectral" w:cs="Spectral" w:eastAsia="Spectral" w:hAnsi="Spectral"/>
                <w:sz w:val="16"/>
                <w:szCs w:val="16"/>
                <w:rtl w:val="0"/>
              </w:rPr>
              <w:t xml:space="preserve">Uses no information from the documentary and gives a brief explanation to answer the question.</w:t>
            </w:r>
          </w:p>
          <w:p w:rsidR="00000000" w:rsidDel="00000000" w:rsidP="00000000" w:rsidRDefault="00000000" w:rsidRPr="00000000" w14:paraId="00000007">
            <w:pPr>
              <w:widowControl w:val="0"/>
              <w:spacing w:line="240" w:lineRule="auto"/>
              <w:rPr>
                <w:rFonts w:ascii="Spectral" w:cs="Spectral" w:eastAsia="Spectral" w:hAnsi="Spectral"/>
                <w:sz w:val="16"/>
                <w:szCs w:val="16"/>
              </w:rPr>
            </w:pPr>
            <w:r w:rsidDel="00000000" w:rsidR="00000000" w:rsidRPr="00000000">
              <w:rPr>
                <w:rFonts w:ascii="Spectral" w:cs="Spectral" w:eastAsia="Spectral" w:hAnsi="Spectral"/>
                <w:sz w:val="16"/>
                <w:szCs w:val="16"/>
                <w:rtl w:val="0"/>
              </w:rPr>
              <w:t xml:space="preserve">Response demonstrates limited knowledge gained from documentary and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Spectral" w:cs="Spectral" w:eastAsia="Spectral" w:hAnsi="Spectral"/>
                <w:sz w:val="16"/>
                <w:szCs w:val="16"/>
              </w:rPr>
            </w:pPr>
            <w:r w:rsidDel="00000000" w:rsidR="00000000" w:rsidRPr="00000000">
              <w:rPr>
                <w:rFonts w:ascii="Spectral" w:cs="Spectral" w:eastAsia="Spectral" w:hAnsi="Spectral"/>
                <w:sz w:val="16"/>
                <w:szCs w:val="16"/>
                <w:rtl w:val="0"/>
              </w:rPr>
              <w:t xml:space="preserve">Shares surface level observations about the documentary and cites at least one piece of information to explain their answer to the question.  Response demonstrates some knowledge gained from documentary and discussion.</w:t>
            </w:r>
          </w:p>
          <w:p w:rsidR="00000000" w:rsidDel="00000000" w:rsidP="00000000" w:rsidRDefault="00000000" w:rsidRPr="00000000" w14:paraId="00000009">
            <w:pPr>
              <w:widowControl w:val="0"/>
              <w:spacing w:line="240" w:lineRule="auto"/>
              <w:rPr>
                <w:rFonts w:ascii="Spectral" w:cs="Spectral" w:eastAsia="Spectral" w:hAnsi="Spectr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Spectral" w:cs="Spectral" w:eastAsia="Spectral" w:hAnsi="Spectral"/>
                <w:sz w:val="16"/>
                <w:szCs w:val="16"/>
              </w:rPr>
            </w:pPr>
            <w:r w:rsidDel="00000000" w:rsidR="00000000" w:rsidRPr="00000000">
              <w:rPr>
                <w:rFonts w:ascii="Spectral" w:cs="Spectral" w:eastAsia="Spectral" w:hAnsi="Spectral"/>
                <w:sz w:val="16"/>
                <w:szCs w:val="16"/>
                <w:rtl w:val="0"/>
              </w:rPr>
              <w:t xml:space="preserve">Fully and completely answers the question and cites two pieces of information from the documentary in the response. Response demonstrates a thorough understanding of knowledge gained from the documentary and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Spectral" w:cs="Spectral" w:eastAsia="Spectral" w:hAnsi="Spectral"/>
                <w:sz w:val="16"/>
                <w:szCs w:val="16"/>
              </w:rPr>
            </w:pPr>
            <w:r w:rsidDel="00000000" w:rsidR="00000000" w:rsidRPr="00000000">
              <w:rPr>
                <w:rFonts w:ascii="Spectral" w:cs="Spectral" w:eastAsia="Spectral" w:hAnsi="Spectral"/>
                <w:sz w:val="16"/>
                <w:szCs w:val="16"/>
                <w:rtl w:val="0"/>
              </w:rPr>
              <w:t xml:space="preserve">Proficient +response exceeds expectations by going above and beyond what is stated in proficient and referencing knowledge outside of the course content, such as knowledge from prior history courses and current events. </w:t>
            </w:r>
          </w:p>
        </w:tc>
      </w:tr>
    </w:tbl>
    <w:p w:rsidR="00000000" w:rsidDel="00000000" w:rsidP="00000000" w:rsidRDefault="00000000" w:rsidRPr="00000000" w14:paraId="0000000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Unit: The Intersections of Racial and Climate Justice</w:t>
    </w: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tl w:val="0"/>
      </w:rPr>
    </w:r>
  </w:p>
  <w:p w:rsidR="00000000" w:rsidDel="00000000" w:rsidP="00000000" w:rsidRDefault="00000000" w:rsidRPr="00000000" w14:paraId="0000000E">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Unit/Project by Educators, EDUCATION FOR LIBERATION</w:t>
    </w:r>
  </w:p>
  <w:p w:rsidR="00000000" w:rsidDel="00000000" w:rsidP="00000000" w:rsidRDefault="00000000" w:rsidRPr="00000000" w14:paraId="0000000F">
    <w:pPr>
      <w:spacing w:line="276" w:lineRule="auto"/>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