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Oral History Resources</w:t>
      </w:r>
    </w:p>
    <w:p w:rsidR="00000000" w:rsidDel="00000000" w:rsidP="00000000" w:rsidRDefault="00000000" w:rsidRPr="00000000" w14:paraId="0000000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rPr>
      </w:pPr>
      <w:r w:rsidDel="00000000" w:rsidR="00000000" w:rsidRPr="00000000">
        <w:rPr>
          <w:rFonts w:ascii="Georgia" w:cs="Georgia" w:eastAsia="Georgia" w:hAnsi="Georgia"/>
          <w:rtl w:val="0"/>
        </w:rPr>
        <w:t xml:space="preserve">Summative: Write a monologue based on an oral history that responds to one of the issues presented by the 1619 Project and </w:t>
      </w:r>
      <w:r w:rsidDel="00000000" w:rsidR="00000000" w:rsidRPr="00000000">
        <w:rPr>
          <w:rFonts w:ascii="Georgia" w:cs="Georgia" w:eastAsia="Georgia" w:hAnsi="Georgia"/>
          <w:i w:val="1"/>
          <w:rtl w:val="0"/>
        </w:rPr>
        <w:t xml:space="preserve">Notes From the Field,</w:t>
      </w:r>
      <w:r w:rsidDel="00000000" w:rsidR="00000000" w:rsidRPr="00000000">
        <w:rPr>
          <w:rFonts w:ascii="Georgia" w:cs="Georgia" w:eastAsia="Georgia" w:hAnsi="Georgia"/>
          <w:rtl w:val="0"/>
        </w:rPr>
        <w:t xml:space="preserve"> in the style of Anna Deavere Smith’s work.  Reflect on the process of incorporating knowledge and skills from multiple classes through rationale and reflection.</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rtl w:val="0"/>
        </w:rPr>
        <w:t xml:space="preserve">Here are some oral histories that are focused on civil rights issues. Teachers can either select one to listen to together or give students the choice to select on their own. Note that the group represents Americans who have struggled with Civil Rights- including Latino and Filipino voices.</w:t>
      </w:r>
    </w:p>
    <w:p w:rsidR="00000000" w:rsidDel="00000000" w:rsidP="00000000" w:rsidRDefault="00000000" w:rsidRPr="00000000" w14:paraId="00000007">
      <w:pPr>
        <w:pStyle w:val="Heading1"/>
        <w:rPr>
          <w:rFonts w:ascii="Georgia" w:cs="Georgia" w:eastAsia="Georgia" w:hAnsi="Georgia"/>
          <w:sz w:val="24"/>
          <w:szCs w:val="24"/>
          <w:u w:val="single"/>
          <w:shd w:fill="fffff7" w:val="clear"/>
        </w:rPr>
      </w:pPr>
      <w:bookmarkStart w:colFirst="0" w:colLast="0" w:name="_87ufr5nvnr6n" w:id="0"/>
      <w:bookmarkEnd w:id="0"/>
      <w:r w:rsidDel="00000000" w:rsidR="00000000" w:rsidRPr="00000000">
        <w:rPr>
          <w:rFonts w:ascii="Georgia" w:cs="Georgia" w:eastAsia="Georgia" w:hAnsi="Georgia"/>
          <w:b w:val="1"/>
          <w:sz w:val="24"/>
          <w:szCs w:val="24"/>
          <w:u w:val="single"/>
          <w:rtl w:val="0"/>
        </w:rPr>
        <w:t xml:space="preserve">Oral History with Photographs and Transcripts</w:t>
      </w:r>
      <w:r w:rsidDel="00000000" w:rsidR="00000000" w:rsidRPr="00000000">
        <w:rPr>
          <w:rtl w:val="0"/>
        </w:rPr>
      </w:r>
    </w:p>
    <w:p w:rsidR="00000000" w:rsidDel="00000000" w:rsidP="00000000" w:rsidRDefault="00000000" w:rsidRPr="00000000" w14:paraId="00000008">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Georgia" w:cs="Georgia" w:eastAsia="Georgia" w:hAnsi="Georgia"/>
          <w:sz w:val="22"/>
          <w:szCs w:val="22"/>
          <w:u w:val="none"/>
        </w:rPr>
      </w:pPr>
      <w:bookmarkStart w:colFirst="0" w:colLast="0" w:name="_jpy8kearn2bk" w:id="1"/>
      <w:bookmarkEnd w:id="1"/>
      <w:hyperlink r:id="rId6">
        <w:r w:rsidDel="00000000" w:rsidR="00000000" w:rsidRPr="00000000">
          <w:rPr>
            <w:rFonts w:ascii="Georgia" w:cs="Georgia" w:eastAsia="Georgia" w:hAnsi="Georgia"/>
            <w:color w:val="1155cc"/>
            <w:sz w:val="22"/>
            <w:szCs w:val="22"/>
            <w:u w:val="single"/>
            <w:rtl w:val="0"/>
          </w:rPr>
          <w:t xml:space="preserve">From The New York Times, “Four Stories of Black Healing” </w:t>
        </w:r>
      </w:hyperlink>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ind w:left="720" w:right="-100" w:firstLine="0"/>
        <w:rPr>
          <w:rFonts w:ascii="Georgia" w:cs="Georgia" w:eastAsia="Georgia" w:hAnsi="Georgia"/>
          <w:sz w:val="24"/>
          <w:szCs w:val="24"/>
        </w:rPr>
      </w:pPr>
      <w:hyperlink r:id="rId7">
        <w:r w:rsidDel="00000000" w:rsidR="00000000" w:rsidRPr="00000000">
          <w:rPr>
            <w:rFonts w:ascii="Georgia" w:cs="Georgia" w:eastAsia="Georgia" w:hAnsi="Georgia"/>
            <w:color w:val="1155cc"/>
            <w:u w:val="single"/>
            <w:rtl w:val="0"/>
          </w:rPr>
          <w:t xml:space="preserve">In this lesson, students will learn about Black healing through photographs and narrative essays. Then, they will reflect by creating a one-pager or taking their own photographs.</w:t>
        </w:r>
      </w:hyperlink>
      <w:r w:rsidDel="00000000" w:rsidR="00000000" w:rsidRPr="00000000">
        <w:rPr>
          <w:rtl w:val="0"/>
        </w:rPr>
      </w:r>
    </w:p>
    <w:p w:rsidR="00000000" w:rsidDel="00000000" w:rsidP="00000000" w:rsidRDefault="00000000" w:rsidRPr="00000000" w14:paraId="0000000A">
      <w:pPr>
        <w:pStyle w:val="Heading1"/>
        <w:spacing w:line="240" w:lineRule="auto"/>
        <w:rPr>
          <w:rFonts w:ascii="Georgia" w:cs="Georgia" w:eastAsia="Georgia" w:hAnsi="Georgia"/>
          <w:b w:val="1"/>
          <w:sz w:val="24"/>
          <w:szCs w:val="24"/>
          <w:u w:val="single"/>
        </w:rPr>
      </w:pPr>
      <w:bookmarkStart w:colFirst="0" w:colLast="0" w:name="_f3c038vhgptd" w:id="2"/>
      <w:bookmarkEnd w:id="2"/>
      <w:r w:rsidDel="00000000" w:rsidR="00000000" w:rsidRPr="00000000">
        <w:rPr>
          <w:rFonts w:ascii="Georgia" w:cs="Georgia" w:eastAsia="Georgia" w:hAnsi="Georgia"/>
          <w:b w:val="1"/>
          <w:sz w:val="24"/>
          <w:szCs w:val="24"/>
          <w:u w:val="single"/>
          <w:rtl w:val="0"/>
        </w:rPr>
        <w:t xml:space="preserve">Oral Histories with Written Transcripts</w:t>
      </w:r>
    </w:p>
    <w:p w:rsidR="00000000" w:rsidDel="00000000" w:rsidP="00000000" w:rsidRDefault="00000000" w:rsidRPr="00000000" w14:paraId="0000000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rPr>
          <w:rFonts w:ascii="Georgia" w:cs="Georgia" w:eastAsia="Georgia" w:hAnsi="Georgia"/>
          <w:u w:val="none"/>
        </w:rPr>
      </w:pPr>
      <w:hyperlink r:id="rId8">
        <w:r w:rsidDel="00000000" w:rsidR="00000000" w:rsidRPr="00000000">
          <w:rPr>
            <w:rFonts w:ascii="Georgia" w:cs="Georgia" w:eastAsia="Georgia" w:hAnsi="Georgia"/>
            <w:color w:val="1155cc"/>
            <w:u w:val="single"/>
            <w:rtl w:val="0"/>
          </w:rPr>
          <w:t xml:space="preserve">The Smithsonian oral history collections with relevance to the Civil Rights movement to obtain justice, freedom and equality for African Americans and to record and make widely accessible new interviews with people who participated in the struggle. </w:t>
        </w:r>
      </w:hyperlink>
      <w:r w:rsidDel="00000000" w:rsidR="00000000" w:rsidRPr="00000000">
        <w:rPr>
          <w:rtl w:val="0"/>
        </w:rPr>
      </w:r>
    </w:p>
    <w:p w:rsidR="00000000" w:rsidDel="00000000" w:rsidP="00000000" w:rsidRDefault="00000000" w:rsidRPr="00000000" w14:paraId="0000000D">
      <w:pPr>
        <w:spacing w:line="240" w:lineRule="auto"/>
        <w:ind w:left="720" w:firstLine="0"/>
        <w:rPr>
          <w:rFonts w:ascii="Georgia" w:cs="Georgia" w:eastAsia="Georgia" w:hAnsi="Georgia"/>
          <w:color w:val="242424"/>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Georgia" w:cs="Georgia" w:eastAsia="Georgia" w:hAnsi="Georgia"/>
          <w:u w:val="none"/>
        </w:rPr>
      </w:pPr>
      <w:hyperlink r:id="rId9">
        <w:r w:rsidDel="00000000" w:rsidR="00000000" w:rsidRPr="00000000">
          <w:rPr>
            <w:rFonts w:ascii="Georgia" w:cs="Georgia" w:eastAsia="Georgia" w:hAnsi="Georgia"/>
            <w:color w:val="1155cc"/>
            <w:u w:val="single"/>
            <w:rtl w:val="0"/>
          </w:rPr>
          <w:t xml:space="preserve">The Farmworker Movement Documentation Project, founded in 2003 by LeRoy Chatfield, is a labor of love. The project seeks to compile and publish primary source accounts from the volunteers who worked with Cesar Chavez to build his farmworker movement during the period, 1962-1993.</w:t>
        </w:r>
      </w:hyperlink>
      <w:r w:rsidDel="00000000" w:rsidR="00000000" w:rsidRPr="00000000">
        <w:rPr>
          <w:rtl w:val="0"/>
        </w:rPr>
      </w:r>
    </w:p>
    <w:p w:rsidR="00000000" w:rsidDel="00000000" w:rsidP="00000000" w:rsidRDefault="00000000" w:rsidRPr="00000000" w14:paraId="0000000F">
      <w:pPr>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rFonts w:ascii="Georgia" w:cs="Georgia" w:eastAsia="Georgia" w:hAnsi="Georgia"/>
          <w:u w:val="none"/>
        </w:rPr>
      </w:pPr>
      <w:hyperlink r:id="rId10">
        <w:r w:rsidDel="00000000" w:rsidR="00000000" w:rsidRPr="00000000">
          <w:rPr>
            <w:rFonts w:ascii="Georgia" w:cs="Georgia" w:eastAsia="Georgia" w:hAnsi="Georgia"/>
            <w:color w:val="1155cc"/>
            <w:u w:val="single"/>
            <w:rtl w:val="0"/>
          </w:rPr>
          <w:t xml:space="preserve">Interviews in Spanish. </w:t>
        </w:r>
      </w:hyperlink>
      <w:hyperlink r:id="rId11">
        <w:r w:rsidDel="00000000" w:rsidR="00000000" w:rsidRPr="00000000">
          <w:rPr>
            <w:rFonts w:ascii="Georgia" w:cs="Georgia" w:eastAsia="Georgia" w:hAnsi="Georgia"/>
            <w:color w:val="1155cc"/>
            <w:u w:val="single"/>
            <w:rtl w:val="0"/>
          </w:rPr>
          <w:t xml:space="preserve">The Bracero Program, which brought millions of Mexican guest workers to the United States, ended more than four decades ago. Current debates about immigration policy-including discussions about a new guest worker program-have put the program back in the news and made it all the more important to understand this chapter of American history. </w:t>
        </w:r>
      </w:hyperlink>
      <w:r w:rsidDel="00000000" w:rsidR="00000000" w:rsidRPr="00000000">
        <w:rPr>
          <w:rtl w:val="0"/>
        </w:rPr>
      </w:r>
    </w:p>
    <w:p w:rsidR="00000000" w:rsidDel="00000000" w:rsidP="00000000" w:rsidRDefault="00000000" w:rsidRPr="00000000" w14:paraId="00000011">
      <w:pPr>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Georgia" w:cs="Georgia" w:eastAsia="Georgia" w:hAnsi="Georgia"/>
          <w:u w:val="none"/>
        </w:rPr>
      </w:pPr>
      <w:hyperlink r:id="rId12">
        <w:r w:rsidDel="00000000" w:rsidR="00000000" w:rsidRPr="00000000">
          <w:rPr>
            <w:rFonts w:ascii="Georgia" w:cs="Georgia" w:eastAsia="Georgia" w:hAnsi="Georgia"/>
            <w:color w:val="1155cc"/>
            <w:u w:val="single"/>
            <w:rtl w:val="0"/>
          </w:rPr>
          <w:t xml:space="preserve">Oral history interview of Philip Vera Cruz, who accounts Filipino migrant labor patterns in Western United States, along with his sentiments regarding the United Farm Workers.</w:t>
        </w:r>
      </w:hyperlink>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color w:val="332211"/>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color w:val="332211"/>
          <w:sz w:val="24"/>
          <w:szCs w:val="24"/>
        </w:rPr>
      </w:pPr>
      <w:r w:rsidDel="00000000" w:rsidR="00000000" w:rsidRPr="00000000">
        <w:rPr>
          <w:rtl w:val="0"/>
        </w:rPr>
      </w:r>
    </w:p>
    <w:p w:rsidR="00000000" w:rsidDel="00000000" w:rsidP="00000000" w:rsidRDefault="00000000" w:rsidRPr="00000000" w14:paraId="00000015">
      <w:pPr>
        <w:pStyle w:val="Heading1"/>
        <w:spacing w:line="240" w:lineRule="auto"/>
        <w:rPr>
          <w:rFonts w:ascii="Georgia" w:cs="Georgia" w:eastAsia="Georgia" w:hAnsi="Georgia"/>
          <w:b w:val="1"/>
          <w:sz w:val="24"/>
          <w:szCs w:val="24"/>
          <w:u w:val="single"/>
        </w:rPr>
      </w:pPr>
      <w:bookmarkStart w:colFirst="0" w:colLast="0" w:name="_2a3dqo6qywkt" w:id="3"/>
      <w:bookmarkEnd w:id="3"/>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spacing w:line="240" w:lineRule="auto"/>
        <w:rPr>
          <w:rFonts w:ascii="Georgia" w:cs="Georgia" w:eastAsia="Georgia" w:hAnsi="Georgia"/>
          <w:b w:val="1"/>
          <w:sz w:val="24"/>
          <w:szCs w:val="24"/>
          <w:u w:val="single"/>
        </w:rPr>
      </w:pPr>
      <w:bookmarkStart w:colFirst="0" w:colLast="0" w:name="_p1va7is9quhb" w:id="4"/>
      <w:bookmarkEnd w:id="4"/>
      <w:r w:rsidDel="00000000" w:rsidR="00000000" w:rsidRPr="00000000">
        <w:rPr>
          <w:rFonts w:ascii="Georgia" w:cs="Georgia" w:eastAsia="Georgia" w:hAnsi="Georgia"/>
          <w:b w:val="1"/>
          <w:sz w:val="24"/>
          <w:szCs w:val="24"/>
          <w:u w:val="single"/>
          <w:rtl w:val="0"/>
        </w:rPr>
        <w:t xml:space="preserve">Oral HIstories without Transcripts</w:t>
      </w:r>
    </w:p>
    <w:p w:rsidR="00000000" w:rsidDel="00000000" w:rsidP="00000000" w:rsidRDefault="00000000" w:rsidRPr="00000000" w14:paraId="00000018">
      <w:pPr>
        <w:spacing w:line="240" w:lineRule="auto"/>
        <w:rPr>
          <w:rFonts w:ascii="Georgia" w:cs="Georgia" w:eastAsia="Georgia" w:hAnsi="Georgia"/>
          <w:color w:val="332211"/>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Georgia" w:cs="Georgia" w:eastAsia="Georgia" w:hAnsi="Georgia"/>
          <w:u w:val="none"/>
        </w:rPr>
      </w:pPr>
      <w:hyperlink r:id="rId13">
        <w:r w:rsidDel="00000000" w:rsidR="00000000" w:rsidRPr="00000000">
          <w:rPr>
            <w:rFonts w:ascii="Georgia" w:cs="Georgia" w:eastAsia="Georgia" w:hAnsi="Georgia"/>
            <w:color w:val="1155cc"/>
            <w:u w:val="single"/>
            <w:rtl w:val="0"/>
          </w:rPr>
          <w:t xml:space="preserve">The Julian Bond Oral History Project is a comprehensive website dedicated to the work and career of Julian Bond the broader Southern civil rights movement. The individuals interviewed for this project also tell their own stories, some of which have never been fully documented by academics and journalists, about coming into the civil rights movement – their experiences that motivated their decisions, their approach to social change and the social, political and legal strategies developed and utilized to achieve those goals. </w:t>
        </w:r>
      </w:hyperlink>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shd w:fill="fffff7" w:val="clear"/>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ind w:right="-100"/>
        <w:rPr>
          <w:rFonts w:ascii="Times New Roman" w:cs="Times New Roman" w:eastAsia="Times New Roman" w:hAnsi="Times New Roman"/>
          <w:color w:val="333333"/>
          <w:sz w:val="24"/>
          <w:szCs w:val="24"/>
          <w:shd w:fill="fffff7" w:val="clear"/>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shd w:fill="fffff7" w:val="clear"/>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5362575</wp:posOffset>
          </wp:positionH>
          <wp:positionV relativeFrom="page">
            <wp:posOffset>568452</wp:posOffset>
          </wp:positionV>
          <wp:extent cx="1492052" cy="3476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2052" cy="34766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20">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                                  </w:t>
    </w:r>
  </w:p>
  <w:p w:rsidR="00000000" w:rsidDel="00000000" w:rsidP="00000000" w:rsidRDefault="00000000" w:rsidRPr="00000000" w14:paraId="00000021">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22">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23">
    <w:pPr>
      <w:rPr>
        <w:rFonts w:ascii="Georgia" w:cs="Georgia" w:eastAsia="Georgia" w:hAnsi="Georgia"/>
        <w:color w:val="666666"/>
        <w:sz w:val="18"/>
        <w:szCs w:val="1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works.utep.edu/bracero/" TargetMode="External"/><Relationship Id="rId10" Type="http://schemas.openxmlformats.org/officeDocument/2006/relationships/hyperlink" Target="https://scholarworks.utep.edu/bracero/" TargetMode="External"/><Relationship Id="rId13" Type="http://schemas.openxmlformats.org/officeDocument/2006/relationships/hyperlink" Target="https://www.julianbondoralhistoryproject.org/about-the-project" TargetMode="External"/><Relationship Id="rId12" Type="http://schemas.openxmlformats.org/officeDocument/2006/relationships/hyperlink" Target="https://welgadigitalarchive.omeka.net/items/show/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raries.ucsd.edu/farmworkermovement/medias/oral-history/"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ytimes.com/2021/04/26/learning/lesson-of-the-day-four-studies-of-black-healing.html?searchResultPosition=4" TargetMode="External"/><Relationship Id="rId7" Type="http://schemas.openxmlformats.org/officeDocument/2006/relationships/hyperlink" Target="https://www.nytimes.com/2021/04/26/learning/lesson-of-the-day-four-studies-of-black-healing.html?searchResultPosition=4" TargetMode="External"/><Relationship Id="rId8" Type="http://schemas.openxmlformats.org/officeDocument/2006/relationships/hyperlink" Target="https://www.loc.gov/collections/civil-rights-history-project/about-this-coll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