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Name:_____________________________                                   Date:____________________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      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Born on the Water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Legacy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Perseverance Identification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Directions: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Write or draw how the enslaved people showed perseverance by overcoming the challenges of enslavement in 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6"/>
                <w:szCs w:val="26"/>
                <w:u w:val="single"/>
                <w:rtl w:val="0"/>
              </w:rPr>
              <w:t xml:space="preserve">Born on the Water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i w:val="1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The people who were enslaved showed perseverance when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14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145"/>
              <w:tblGridChange w:id="0">
                <w:tblGrid>
                  <w:gridCol w:w="914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Analyzing our past to elevate our future through perseverance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-171447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4103308</wp:posOffset>
          </wp:positionH>
          <wp:positionV relativeFrom="paragraph">
            <wp:posOffset>114300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ASCENDING FROM GREATNESS team,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523Ds7vNsv3d1tfOMZGzu3ZYAg==">CgMxLjA4AHIhMVVUNkNzaHJUTkhBSHJoNHp6dlNDRVpzMFRkUWpXczhy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