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Identifying the Author’s Purpose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Directions: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poem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Stolen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from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Born on the Water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identify the author’s purpose, identify one of the challenges, and how the people respond to the challenge.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655.0" w:type="dxa"/>
              <w:jc w:val="left"/>
              <w:tblInd w:w="30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45"/>
              <w:gridCol w:w="3045"/>
              <w:gridCol w:w="2865"/>
              <w:tblGridChange w:id="0">
                <w:tblGrid>
                  <w:gridCol w:w="2745"/>
                  <w:gridCol w:w="3045"/>
                  <w:gridCol w:w="28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What is the author’s purpose in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u w:val="single"/>
                      <w:rtl w:val="0"/>
                    </w:rPr>
                    <w:t xml:space="preserve">Stolen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 from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u w:val="single"/>
                      <w:rtl w:val="0"/>
                    </w:rPr>
                    <w:t xml:space="preserve">Born on the Water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?</w:t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Author’s write to describe, explain, and answer.</w:t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  What is the challenge being faced by the Ndongo people?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How do the Ndongo people respond to the challenge?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7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kv2r7Eul2vbDLDzO8aIdcS0/A==">CgMxLjA4AHIhMWU5UjUtbnZ4WkZiRnlSdm54NXJqMlJfNTlsTEUzanpH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