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_____________________________________________________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part of the story ……</w:t>
        <w:tab/>
        <w:tab/>
        <w:tab/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…….caused me to feel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930"/>
        <w:gridCol w:w="6855"/>
        <w:tblGridChange w:id="0">
          <w:tblGrid>
            <w:gridCol w:w="6585"/>
            <w:gridCol w:w="930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4000240" cy="274326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240" cy="2743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This is Where I Come From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6448425</wp:posOffset>
          </wp:positionH>
          <wp:positionV relativeFrom="paragraph">
            <wp:posOffset>-85724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Ascending From Greatness,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