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Poem Interpretation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  <w:rtl w:val="0"/>
              </w:rPr>
              <w:t xml:space="preserve">What do the words from the poem below mean to the author?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40"/>
                <w:szCs w:val="40"/>
                <w:rtl w:val="0"/>
              </w:rPr>
              <w:t xml:space="preserve">“The first truly American child.”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1)The author wrote these words because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2)The author wanted to let the readers know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                                                                24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Zg4LQl2Bjjd6PwUTyhaQI4e3Q==">CgMxLjA4AHIhMTlwSVB3R1F2TlBZbzJZSFQxSHJ1Z1FoSnFhdTZNX1FH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