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65"/>
        <w:tblGridChange w:id="0">
          <w:tblGrid>
            <w:gridCol w:w="10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United States History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Project Rubric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1"/>
                <w:rtl w:val="0"/>
              </w:rPr>
              <w:t xml:space="preserve">1619 Project</w:t>
            </w: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: Sugar Article Infographic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74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083"/>
              <w:gridCol w:w="1620"/>
              <w:gridCol w:w="5046"/>
              <w:tblGridChange w:id="0">
                <w:tblGrid>
                  <w:gridCol w:w="4083"/>
                  <w:gridCol w:w="1620"/>
                  <w:gridCol w:w="50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Category</w:t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Points </w:t>
                  </w:r>
                </w:p>
              </w:tc>
              <w:tc>
                <w:tcPr/>
                <w:p w:rsidR="00000000" w:rsidDel="00000000" w:rsidP="00000000" w:rsidRDefault="00000000" w:rsidRPr="00000000" w14:paraId="00000009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Comments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A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Content</w:t>
                  </w:r>
                  <w:r w:rsidDel="00000000" w:rsidR="00000000" w:rsidRPr="00000000">
                    <w:rPr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Infographic accurately provides detailed information that supports a topic or theme presented in the article “Sugar” by Khalil Gibran Muhammad and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The 1619 Project</w:t>
                  </w:r>
                  <w:r w:rsidDel="00000000" w:rsidR="00000000" w:rsidRPr="00000000">
                    <w:rPr>
                      <w:rtl w:val="0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The infographic effectively informs and introduces a message or purpose; displays relevance.  </w:t>
                  </w:r>
                </w:p>
                <w:p w:rsidR="00000000" w:rsidDel="00000000" w:rsidP="00000000" w:rsidRDefault="00000000" w:rsidRPr="00000000" w14:paraId="000000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/35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Organization:</w:t>
                  </w:r>
                </w:p>
                <w:p w:rsidR="00000000" w:rsidDel="00000000" w:rsidP="00000000" w:rsidRDefault="00000000" w:rsidRPr="00000000" w14:paraId="0000001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Information is organized and the reader can comprehend the message or theme presented in the infographic.</w:t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/25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Visual/Media/Audio:</w:t>
                  </w:r>
                </w:p>
                <w:p w:rsidR="00000000" w:rsidDel="00000000" w:rsidP="00000000" w:rsidRDefault="00000000" w:rsidRPr="00000000" w14:paraId="0000001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Layout, color, font size and Infographic display is easy to read; not confusing. </w:t>
                  </w:r>
                </w:p>
                <w:p w:rsidR="00000000" w:rsidDel="00000000" w:rsidP="00000000" w:rsidRDefault="00000000" w:rsidRPr="00000000" w14:paraId="000000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Media images selected for the infographic connect to the article selection and are relevant to the theme or topic. </w:t>
                  </w:r>
                </w:p>
                <w:p w:rsidR="00000000" w:rsidDel="00000000" w:rsidP="00000000" w:rsidRDefault="00000000" w:rsidRPr="00000000" w14:paraId="0000001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Recording is clear, reflective and supports article section.</w:t>
                  </w:r>
                </w:p>
                <w:p w:rsidR="00000000" w:rsidDel="00000000" w:rsidP="00000000" w:rsidRDefault="00000000" w:rsidRPr="00000000" w14:paraId="000000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/30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Citation/source page</w:t>
                  </w:r>
                  <w:r w:rsidDel="00000000" w:rsidR="00000000" w:rsidRPr="00000000">
                    <w:rPr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Includes detailed resources {names, websites, etc.}.</w:t>
                  </w:r>
                </w:p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References reputable websites (.gov; .org; .edu}.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/10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-81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907.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0"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5286375</wp:posOffset>
          </wp:positionH>
          <wp:positionV relativeFrom="page">
            <wp:posOffset>447675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The “20 and Odd” Who Built the United States</w:t>
    </w:r>
  </w:p>
  <w:p w:rsidR="00000000" w:rsidDel="00000000" w:rsidP="00000000" w:rsidRDefault="00000000" w:rsidRPr="00000000" w14:paraId="00000028">
    <w:pPr>
      <w:spacing w:after="0"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UBUNTU: High School for Law Advocacy &amp; Community Justice,</w:t>
    </w:r>
  </w:p>
  <w:p w:rsidR="00000000" w:rsidDel="00000000" w:rsidP="00000000" w:rsidRDefault="00000000" w:rsidRPr="00000000" w14:paraId="00000029">
    <w:pPr>
      <w:spacing w:after="0"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2A">
    <w:pPr>
      <w:spacing w:after="0"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D64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X24OCNMKhg19kjl0SQMt7svQQ==">AMUW2mVwDaFcIfUl3UyFNEoPtz1Etfe/OPyy+1ajGxz5fuHNzg+/J99Hz/qe9cVxiWzsJ3aIYyFhRf0FkekYGtP91j9bjiMP+9rGWAq6v/EpSUFO45gBZyo=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2022-01-14T03:52:00Z</dcterms:created>
  <dc:creator>Carrie Jackson</dc:creator>
</cp:coreProperties>
</file>